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F8C" w:rsidRPr="00682F8C" w:rsidRDefault="00682F8C" w:rsidP="00682F8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82F8C">
        <w:rPr>
          <w:b/>
          <w:bCs/>
          <w:color w:val="333333"/>
          <w:sz w:val="28"/>
          <w:szCs w:val="28"/>
        </w:rPr>
        <w:t>Подлежит ли административной ответственности лицо, совершившее правонарушение день своего 16-летия?</w:t>
      </w:r>
    </w:p>
    <w:bookmarkEnd w:id="0"/>
    <w:p w:rsidR="00682F8C" w:rsidRDefault="00682F8C" w:rsidP="00682F8C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По общему правилу административной ответственности подлежит лицо, достигшее к моменту совершения административного правонарушения возраста шестнадцати лет. Это закреплено в статье 2.3 Кодекса Российской Федерации об административных правонарушениях.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Согласно статье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Лицо считается достигшим возраста, с которого наступает административная ответственность, не в день своего 16-летия, а с нуля часов следующих суток. Следовательно, к административной ответственности в день рождения (16-летие) привлечён быть не может.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В отношении несовершеннолетних, совершивших правонарушение до достижения возраста, с которого наступает административная ответственность, проводится индивидуальная профилактическая работа в порядке, предусмотренном Федеральным законом «Об основах системы профилактики безнадзорности правонарушений несовершеннолетних».</w:t>
      </w:r>
    </w:p>
    <w:p w:rsidR="00EA6DB4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4183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17E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2021-10-04T03:33:00Z</cp:lastPrinted>
  <dcterms:created xsi:type="dcterms:W3CDTF">2021-09-29T04:22:00Z</dcterms:created>
  <dcterms:modified xsi:type="dcterms:W3CDTF">2021-10-04T03:33:00Z</dcterms:modified>
</cp:coreProperties>
</file>